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8604F">
      <w:pPr>
        <w:pStyle w:val="1"/>
      </w:pPr>
      <w:r>
        <w:rPr>
          <w:rStyle w:val="a4"/>
          <w:b/>
          <w:bCs/>
        </w:rPr>
        <w:t>Информация Банка России от 30 января 2015 г.</w:t>
      </w:r>
      <w:r>
        <w:rPr>
          <w:rStyle w:val="a4"/>
          <w:b/>
          <w:bCs/>
        </w:rPr>
        <w:br/>
        <w:t>"О ключевой ставке Банка России"</w:t>
      </w:r>
    </w:p>
    <w:p w:rsidR="00000000" w:rsidRDefault="0058604F"/>
    <w:p w:rsidR="00000000" w:rsidRDefault="0058604F">
      <w:r>
        <w:t xml:space="preserve">Совет директоров Банка России 30 января 2015 года принял решение снизить </w:t>
      </w:r>
      <w:r>
        <w:rPr>
          <w:rStyle w:val="a4"/>
        </w:rPr>
        <w:t>ключевую ставку</w:t>
      </w:r>
      <w:r>
        <w:t xml:space="preserve"> c 17,00% до 15,00% годовых, учитывая изменение </w:t>
      </w:r>
      <w:proofErr w:type="gramStart"/>
      <w:r>
        <w:t>баланса рисков ускорения роста потребительских цен</w:t>
      </w:r>
      <w:proofErr w:type="gramEnd"/>
      <w:r>
        <w:t xml:space="preserve"> и охлаждения экономики. Принято</w:t>
      </w:r>
      <w:r>
        <w:t>е 15 декабря 2014 года Банком России решение о резком повышении ключевой ставки привело к стабилизации инфляционных и девальвационных ожиданий в той мере, в какой рассчитывал Банк России. Наблюдаемый всплеск инфляции вызван ускоренной подстройкой цен к про</w:t>
      </w:r>
      <w:r>
        <w:t>изошедшему ослаблению рубля и носит ограниченный во времени характер. В дальнейшем инфляционное давление будет сдерживаться снижением экономической активности. По прогнозу Банка России, темп прироста потребительских цен снизится до уровня ниже 10% в январе</w:t>
      </w:r>
      <w:r>
        <w:t xml:space="preserve"> 2016 года.</w:t>
      </w:r>
    </w:p>
    <w:p w:rsidR="00000000" w:rsidRDefault="0058604F">
      <w:r>
        <w:t xml:space="preserve">По итогам 2014 года </w:t>
      </w:r>
      <w:r>
        <w:rPr>
          <w:rStyle w:val="a4"/>
        </w:rPr>
        <w:t>инфляция</w:t>
      </w:r>
      <w:r>
        <w:t xml:space="preserve"> составила 11,4%, базовая инфляция - 11,2%. При этом в декабре 2014 года темп прироста потребительских цен за месяц составил 2,6% на фоне значительного ослабления рубля, роста инфляци</w:t>
      </w:r>
      <w:r>
        <w:t>онных ожиданий и повышенного потребительского спроса на непродовольственные товары. По состоянию на 26 января годовой темп прироста потребительских цен составил 13,1%. По оценке Банка России, в январе 2015 года темп прироста потребительских цен за месяц не</w:t>
      </w:r>
      <w:r>
        <w:t>сколько снизится, однако годовая инфляция продолжит расти и достигнет пика по II квартале 2015 года.</w:t>
      </w:r>
    </w:p>
    <w:p w:rsidR="00000000" w:rsidRDefault="0058604F">
      <w:r>
        <w:t xml:space="preserve">Сложившиеся денежно-кредитные условия создают предпосылки к снижению </w:t>
      </w:r>
      <w:r>
        <w:rPr>
          <w:rStyle w:val="a4"/>
        </w:rPr>
        <w:t>инфляции</w:t>
      </w:r>
      <w:r>
        <w:t xml:space="preserve"> в среднесрочной перспективе. Годовые темпы п</w:t>
      </w:r>
      <w:r>
        <w:t>рироста денежной массы (М</w:t>
      </w:r>
      <w:proofErr w:type="gramStart"/>
      <w:r>
        <w:t>2</w:t>
      </w:r>
      <w:proofErr w:type="gramEnd"/>
      <w:r>
        <w:t>) значительно снизились. Ставки по депозитам населения существенно выросли, что будет формировать условия для увеличения склонности к сбережению и стимулировать приток средств на банковские вклады. На фоне повышения процентных ста</w:t>
      </w:r>
      <w:r>
        <w:t>вок по кредитам и требований банков к качеству заемщиков и обеспечения наблюдалось замедление роста кредитования экономики (с поправкой на валютную переоценку).</w:t>
      </w:r>
    </w:p>
    <w:p w:rsidR="00000000" w:rsidRDefault="0058604F">
      <w:r>
        <w:t>Некоторое повышение экономической активности в декабре 2014 года было обусловлено действием вре</w:t>
      </w:r>
      <w:r>
        <w:t xml:space="preserve">менных факторов, в том числе ростом спроса на товары длительного пользования на фоне увеличения инфляционных ожиданий, и сопровождалось более быстрым переносом изменения валютного курса на цены. По оценкам Банка России, годовой темп прироста реального ВВП </w:t>
      </w:r>
      <w:r>
        <w:t>в 2014 году составил 0,6%. В дальнейшем ожидается существенное сокращение выпуска на фоне ухудшения внешних условий в связи со снижением цен на нефть и закрытием внешних финансовых рынков для российских заемщиков. В условиях высоких цен на импортируемые то</w:t>
      </w:r>
      <w:r>
        <w:t>вары инвестиционного назначения, ухудшения финансовых показателей компаний, сохранения ограниченной доступности долгосрочных финансовых ресурсов и ужесточения условий кредитования продолжится сокращение инвестиций в основной капитал. Снижение реальной зара</w:t>
      </w:r>
      <w:r>
        <w:t xml:space="preserve">ботной платы и замедление роста розничного кредитования обусловит снижение потребительской активности. Негативный эффект ухудшения внешних условий лишь отчасти будет компенсироваться курсовой динамикой. По оценкам Банка России, годовой темп прироста ВВП в </w:t>
      </w:r>
      <w:r>
        <w:t>первом полугодии 2015 года составит (-3,2%).</w:t>
      </w:r>
    </w:p>
    <w:p w:rsidR="00000000" w:rsidRDefault="0058604F">
      <w:r>
        <w:t xml:space="preserve">Произошедшее ослабление рубля продолжит оказывать влияние на цены товаров и услуг. В связи с этим возможно увеличение годовой </w:t>
      </w:r>
      <w:r>
        <w:rPr>
          <w:rStyle w:val="a4"/>
        </w:rPr>
        <w:t>инфляции</w:t>
      </w:r>
      <w:r>
        <w:t xml:space="preserve"> в ближайшие месяцы. Однако по мере постепен</w:t>
      </w:r>
      <w:r>
        <w:t xml:space="preserve">ной подстройки экономики к изменившимся внешним условиям и исчерпания влияния курсовой динамики на цены прогнозируется снижение </w:t>
      </w:r>
      <w:r>
        <w:lastRenderedPageBreak/>
        <w:t>инфляции и инфляционных ожиданий. Замедлению роста потребительских цен будет способствовать низкий агрегированный спрос при сохр</w:t>
      </w:r>
      <w:r>
        <w:t>анении совокупного выпуска товаров и услуг ниже потенциального уровня, а также умеренно жесткая политика бюджетных расходов. Ожидается снижение годовой инфляции до уровня ниже 10% в январе 2016 года.</w:t>
      </w:r>
    </w:p>
    <w:p w:rsidR="00000000" w:rsidRDefault="0058604F">
      <w:r>
        <w:t>Следующее заседание Совета директоров Банка России, на к</w:t>
      </w:r>
      <w:r>
        <w:t xml:space="preserve">отором будет рассматриваться вопрос об уровне </w:t>
      </w:r>
      <w:r>
        <w:rPr>
          <w:rStyle w:val="a4"/>
        </w:rPr>
        <w:t>ключевой ставки</w:t>
      </w:r>
      <w:r>
        <w:t>, запланировано на 13 марта 2015 года. Время публикации пресс-релиза о решении Совета директоров Банка России - 13:30 по московскому времени.</w:t>
      </w:r>
    </w:p>
    <w:p w:rsidR="00000000" w:rsidRDefault="0058604F"/>
    <w:p w:rsidR="00000000" w:rsidRDefault="0058604F">
      <w:pPr>
        <w:ind w:firstLine="0"/>
        <w:jc w:val="left"/>
        <w:sectPr w:rsidR="00000000">
          <w:pgSz w:w="118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58604F">
      <w:pPr>
        <w:pStyle w:val="1"/>
      </w:pPr>
      <w:bookmarkStart w:id="0" w:name="sub_100"/>
      <w:r>
        <w:lastRenderedPageBreak/>
        <w:t>Процентные ставки по основным операциям Банка России</w:t>
      </w:r>
      <w:r>
        <w:rPr>
          <w:rStyle w:val="a4"/>
          <w:b/>
          <w:bCs/>
        </w:rPr>
        <w:t>*</w:t>
      </w:r>
    </w:p>
    <w:bookmarkEnd w:id="0"/>
    <w:p w:rsidR="00000000" w:rsidRDefault="0058604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540"/>
        <w:gridCol w:w="4060"/>
        <w:gridCol w:w="3500"/>
        <w:gridCol w:w="2240"/>
        <w:gridCol w:w="1540"/>
        <w:gridCol w:w="1680"/>
      </w:tblGrid>
      <w:tr w:rsidR="00000000" w:rsidRPr="0058604F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58604F" w:rsidRDefault="0058604F">
            <w:pPr>
              <w:pStyle w:val="aff7"/>
              <w:jc w:val="center"/>
              <w:rPr>
                <w:rFonts w:eastAsiaTheme="minorEastAsia"/>
              </w:rPr>
            </w:pPr>
            <w:r w:rsidRPr="0058604F">
              <w:rPr>
                <w:rFonts w:eastAsiaTheme="minorEastAsia"/>
              </w:rPr>
              <w:t>(% годовых)</w:t>
            </w:r>
          </w:p>
          <w:p w:rsidR="00000000" w:rsidRPr="0058604F" w:rsidRDefault="0058604F">
            <w:pPr>
              <w:pStyle w:val="aff7"/>
              <w:rPr>
                <w:rFonts w:eastAsiaTheme="minorEastAsia"/>
              </w:rPr>
            </w:pPr>
          </w:p>
        </w:tc>
      </w:tr>
      <w:tr w:rsidR="00000000" w:rsidRPr="0058604F">
        <w:tblPrEx>
          <w:tblCellMar>
            <w:top w:w="0" w:type="dxa"/>
            <w:bottom w:w="0" w:type="dxa"/>
          </w:tblCellMar>
        </w:tblPrEx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8604F" w:rsidRDefault="0058604F">
            <w:pPr>
              <w:pStyle w:val="aff7"/>
              <w:jc w:val="center"/>
              <w:rPr>
                <w:rFonts w:eastAsiaTheme="minorEastAsia"/>
              </w:rPr>
            </w:pPr>
            <w:r w:rsidRPr="0058604F">
              <w:rPr>
                <w:rFonts w:eastAsiaTheme="minorEastAsia"/>
              </w:rPr>
              <w:t>Назначение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8604F" w:rsidRDefault="0058604F">
            <w:pPr>
              <w:pStyle w:val="aff7"/>
              <w:jc w:val="center"/>
              <w:rPr>
                <w:rFonts w:eastAsiaTheme="minorEastAsia"/>
              </w:rPr>
            </w:pPr>
            <w:r w:rsidRPr="0058604F">
              <w:rPr>
                <w:rFonts w:eastAsiaTheme="minorEastAsia"/>
              </w:rPr>
              <w:t>Вид инструмента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8604F" w:rsidRDefault="0058604F">
            <w:pPr>
              <w:pStyle w:val="aff7"/>
              <w:jc w:val="center"/>
              <w:rPr>
                <w:rFonts w:eastAsiaTheme="minorEastAsia"/>
              </w:rPr>
            </w:pPr>
            <w:r w:rsidRPr="0058604F">
              <w:rPr>
                <w:rFonts w:eastAsiaTheme="minorEastAsia"/>
              </w:rPr>
              <w:t>Инструмент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8604F" w:rsidRDefault="0058604F">
            <w:pPr>
              <w:pStyle w:val="aff7"/>
              <w:jc w:val="center"/>
              <w:rPr>
                <w:rFonts w:eastAsiaTheme="minorEastAsia"/>
              </w:rPr>
            </w:pPr>
            <w:r w:rsidRPr="0058604F">
              <w:rPr>
                <w:rFonts w:eastAsiaTheme="minorEastAsia"/>
              </w:rPr>
              <w:t>Срок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8604F" w:rsidRDefault="0058604F">
            <w:pPr>
              <w:pStyle w:val="aff7"/>
              <w:jc w:val="center"/>
              <w:rPr>
                <w:rFonts w:eastAsiaTheme="minorEastAsia"/>
              </w:rPr>
            </w:pPr>
            <w:r w:rsidRPr="0058604F">
              <w:rPr>
                <w:rFonts w:eastAsiaTheme="minorEastAsia"/>
              </w:rPr>
              <w:t>с 16.12.14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8604F" w:rsidRDefault="0058604F">
            <w:pPr>
              <w:pStyle w:val="aff7"/>
              <w:jc w:val="center"/>
              <w:rPr>
                <w:rFonts w:eastAsiaTheme="minorEastAsia"/>
              </w:rPr>
            </w:pPr>
            <w:r w:rsidRPr="0058604F">
              <w:rPr>
                <w:rFonts w:eastAsiaTheme="minorEastAsia"/>
              </w:rPr>
              <w:t>с 02.02.15</w:t>
            </w:r>
          </w:p>
        </w:tc>
      </w:tr>
      <w:tr w:rsidR="00000000" w:rsidRPr="0058604F">
        <w:tblPrEx>
          <w:tblCellMar>
            <w:top w:w="0" w:type="dxa"/>
            <w:bottom w:w="0" w:type="dxa"/>
          </w:tblCellMar>
        </w:tblPrEx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8604F" w:rsidRDefault="0058604F">
            <w:pPr>
              <w:pStyle w:val="afff0"/>
              <w:rPr>
                <w:rFonts w:eastAsiaTheme="minorEastAsia"/>
              </w:rPr>
            </w:pPr>
            <w:r w:rsidRPr="0058604F">
              <w:rPr>
                <w:rFonts w:eastAsiaTheme="minorEastAsia"/>
              </w:rPr>
              <w:t>Предоставление ликвидности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8604F" w:rsidRDefault="0058604F">
            <w:pPr>
              <w:pStyle w:val="afff0"/>
              <w:rPr>
                <w:rFonts w:eastAsiaTheme="minorEastAsia"/>
              </w:rPr>
            </w:pPr>
            <w:r w:rsidRPr="0058604F">
              <w:rPr>
                <w:rFonts w:eastAsiaTheme="minorEastAsia"/>
              </w:rPr>
              <w:t>Операции постоянного действия</w:t>
            </w:r>
            <w:r w:rsidRPr="0058604F">
              <w:rPr>
                <w:rFonts w:eastAsiaTheme="minorEastAsia"/>
              </w:rPr>
              <w:br/>
            </w:r>
            <w:r w:rsidRPr="0058604F">
              <w:rPr>
                <w:rFonts w:eastAsiaTheme="minorEastAsia"/>
              </w:rPr>
              <w:t>(по фиксированным процентным ставкам)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8604F" w:rsidRDefault="0058604F">
            <w:pPr>
              <w:pStyle w:val="afff0"/>
              <w:rPr>
                <w:rFonts w:eastAsiaTheme="minorEastAsia"/>
              </w:rPr>
            </w:pPr>
            <w:proofErr w:type="gramStart"/>
            <w:r w:rsidRPr="0058604F">
              <w:rPr>
                <w:rFonts w:eastAsiaTheme="minorEastAsia"/>
              </w:rPr>
              <w:t>РЕПО;</w:t>
            </w:r>
            <w:r w:rsidRPr="0058604F">
              <w:rPr>
                <w:rFonts w:eastAsiaTheme="minorEastAsia"/>
              </w:rPr>
              <w:br/>
              <w:t>кредиты "овернайт";</w:t>
            </w:r>
            <w:r w:rsidRPr="0058604F">
              <w:rPr>
                <w:rFonts w:eastAsiaTheme="minorEastAsia"/>
              </w:rPr>
              <w:br/>
            </w:r>
            <w:r w:rsidRPr="0058604F">
              <w:rPr>
                <w:rStyle w:val="a4"/>
                <w:rFonts w:eastAsiaTheme="minorEastAsia"/>
                <w:b w:val="0"/>
                <w:bCs w:val="0"/>
              </w:rPr>
              <w:t>ломбардные кредиты</w:t>
            </w:r>
            <w:r w:rsidRPr="0058604F">
              <w:rPr>
                <w:rFonts w:eastAsiaTheme="minorEastAsia"/>
              </w:rPr>
              <w:t>;</w:t>
            </w:r>
            <w:r w:rsidRPr="0058604F">
              <w:rPr>
                <w:rFonts w:eastAsiaTheme="minorEastAsia"/>
              </w:rPr>
              <w:br/>
              <w:t>кредиты, обеспеченные золотом;</w:t>
            </w:r>
            <w:r w:rsidRPr="0058604F">
              <w:rPr>
                <w:rFonts w:eastAsiaTheme="minorEastAsia"/>
              </w:rPr>
              <w:br/>
              <w:t>кредиты, обеспеченные нерыночными активами или поручительствами;</w:t>
            </w:r>
            <w:r w:rsidRPr="0058604F">
              <w:rPr>
                <w:rFonts w:eastAsiaTheme="minorEastAsia"/>
              </w:rPr>
              <w:br/>
              <w:t>сделки "валютный своп" (рублевая часть)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8604F" w:rsidRDefault="0058604F">
            <w:pPr>
              <w:pStyle w:val="afff0"/>
              <w:rPr>
                <w:rFonts w:eastAsiaTheme="minorEastAsia"/>
              </w:rPr>
            </w:pPr>
            <w:r w:rsidRPr="0058604F">
              <w:rPr>
                <w:rFonts w:eastAsiaTheme="minorEastAsia"/>
              </w:rPr>
              <w:t xml:space="preserve">1 </w:t>
            </w:r>
            <w:r w:rsidRPr="0058604F">
              <w:rPr>
                <w:rFonts w:eastAsiaTheme="minorEastAsia"/>
              </w:rPr>
              <w:t>день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8604F" w:rsidRDefault="0058604F">
            <w:pPr>
              <w:pStyle w:val="afff0"/>
              <w:rPr>
                <w:rFonts w:eastAsiaTheme="minorEastAsia"/>
              </w:rPr>
            </w:pPr>
            <w:r w:rsidRPr="0058604F">
              <w:rPr>
                <w:rFonts w:eastAsiaTheme="minorEastAsia"/>
              </w:rPr>
              <w:t>18,00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8604F" w:rsidRDefault="0058604F">
            <w:pPr>
              <w:pStyle w:val="afff0"/>
              <w:rPr>
                <w:rFonts w:eastAsiaTheme="minorEastAsia"/>
              </w:rPr>
            </w:pPr>
            <w:r w:rsidRPr="0058604F">
              <w:rPr>
                <w:rFonts w:eastAsiaTheme="minorEastAsia"/>
              </w:rPr>
              <w:t>16,00</w:t>
            </w:r>
          </w:p>
        </w:tc>
      </w:tr>
      <w:tr w:rsidR="00000000" w:rsidRPr="0058604F">
        <w:tblPrEx>
          <w:tblCellMar>
            <w:top w:w="0" w:type="dxa"/>
            <w:bottom w:w="0" w:type="dxa"/>
          </w:tblCellMar>
        </w:tblPrEx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8604F" w:rsidRDefault="0058604F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8604F" w:rsidRDefault="0058604F">
            <w:pPr>
              <w:pStyle w:val="afff0"/>
              <w:rPr>
                <w:rFonts w:eastAsiaTheme="minorEastAsia"/>
              </w:rPr>
            </w:pPr>
            <w:r w:rsidRPr="0058604F">
              <w:rPr>
                <w:rFonts w:eastAsiaTheme="minorEastAsia"/>
              </w:rPr>
              <w:t>Операции на аукционной основе</w:t>
            </w:r>
            <w:r w:rsidRPr="0058604F">
              <w:rPr>
                <w:rFonts w:eastAsiaTheme="minorEastAsia"/>
              </w:rPr>
              <w:br/>
              <w:t>(минимальные процентные ставки)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8604F" w:rsidRDefault="0058604F">
            <w:pPr>
              <w:pStyle w:val="afff0"/>
              <w:rPr>
                <w:rFonts w:eastAsiaTheme="minorEastAsia"/>
              </w:rPr>
            </w:pPr>
            <w:r w:rsidRPr="0058604F">
              <w:rPr>
                <w:rFonts w:eastAsiaTheme="minorEastAsia"/>
              </w:rPr>
              <w:t>Аукционы по предоставлению кредитов, обеспеченных нерыночными активами</w:t>
            </w:r>
            <w:r w:rsidRPr="0058604F">
              <w:rPr>
                <w:rStyle w:val="a4"/>
                <w:rFonts w:eastAsiaTheme="minorEastAsia"/>
                <w:b w:val="0"/>
                <w:bCs w:val="0"/>
              </w:rPr>
              <w:t>**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8604F" w:rsidRDefault="0058604F">
            <w:pPr>
              <w:pStyle w:val="afff0"/>
              <w:rPr>
                <w:rFonts w:eastAsiaTheme="minorEastAsia"/>
              </w:rPr>
            </w:pPr>
            <w:r w:rsidRPr="0058604F">
              <w:rPr>
                <w:rFonts w:eastAsiaTheme="minorEastAsia"/>
              </w:rPr>
              <w:t>3 месяца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8604F" w:rsidRDefault="0058604F">
            <w:pPr>
              <w:pStyle w:val="afff0"/>
              <w:rPr>
                <w:rFonts w:eastAsiaTheme="minorEastAsia"/>
              </w:rPr>
            </w:pPr>
            <w:r w:rsidRPr="0058604F">
              <w:rPr>
                <w:rFonts w:eastAsiaTheme="minorEastAsia"/>
              </w:rPr>
              <w:t>17,25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8604F" w:rsidRDefault="0058604F">
            <w:pPr>
              <w:pStyle w:val="afff0"/>
              <w:rPr>
                <w:rFonts w:eastAsiaTheme="minorEastAsia"/>
              </w:rPr>
            </w:pPr>
            <w:r w:rsidRPr="0058604F">
              <w:rPr>
                <w:rFonts w:eastAsiaTheme="minorEastAsia"/>
              </w:rPr>
              <w:t>15,25</w:t>
            </w:r>
          </w:p>
        </w:tc>
      </w:tr>
      <w:tr w:rsidR="00000000" w:rsidRPr="0058604F">
        <w:tblPrEx>
          <w:tblCellMar>
            <w:top w:w="0" w:type="dxa"/>
            <w:bottom w:w="0" w:type="dxa"/>
          </w:tblCellMar>
        </w:tblPrEx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8604F" w:rsidRDefault="0058604F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8604F" w:rsidRDefault="0058604F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8604F" w:rsidRDefault="0058604F">
            <w:pPr>
              <w:pStyle w:val="afff0"/>
              <w:rPr>
                <w:rFonts w:eastAsiaTheme="minorEastAsia"/>
              </w:rPr>
            </w:pPr>
            <w:r w:rsidRPr="0058604F">
              <w:rPr>
                <w:rFonts w:eastAsiaTheme="minorEastAsia"/>
              </w:rPr>
              <w:t>Аукционы РЕПО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8604F" w:rsidRDefault="0058604F">
            <w:pPr>
              <w:pStyle w:val="afff0"/>
              <w:rPr>
                <w:rFonts w:eastAsiaTheme="minorEastAsia"/>
              </w:rPr>
            </w:pPr>
            <w:r w:rsidRPr="0058604F">
              <w:rPr>
                <w:rFonts w:eastAsiaTheme="minorEastAsia"/>
              </w:rPr>
              <w:t>от 1 до 6 дней</w:t>
            </w:r>
            <w:r w:rsidRPr="0058604F">
              <w:rPr>
                <w:rStyle w:val="a4"/>
                <w:rFonts w:eastAsiaTheme="minorEastAsia"/>
                <w:b w:val="0"/>
                <w:bCs w:val="0"/>
              </w:rPr>
              <w:t>***</w:t>
            </w:r>
            <w:r w:rsidRPr="0058604F">
              <w:rPr>
                <w:rFonts w:eastAsiaTheme="minorEastAsia"/>
              </w:rPr>
              <w:t>,</w:t>
            </w:r>
            <w:r w:rsidRPr="0058604F">
              <w:rPr>
                <w:rFonts w:eastAsiaTheme="minorEastAsia"/>
              </w:rPr>
              <w:br/>
              <w:t>1 неделя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8604F" w:rsidRDefault="0058604F">
            <w:pPr>
              <w:pStyle w:val="afff0"/>
              <w:rPr>
                <w:rFonts w:eastAsiaTheme="minorEastAsia"/>
              </w:rPr>
            </w:pPr>
            <w:r w:rsidRPr="0058604F">
              <w:rPr>
                <w:rFonts w:eastAsiaTheme="minorEastAsia"/>
              </w:rPr>
              <w:t>17,00</w:t>
            </w:r>
            <w:r w:rsidRPr="0058604F">
              <w:rPr>
                <w:rFonts w:eastAsiaTheme="minorEastAsia"/>
              </w:rPr>
              <w:br/>
              <w:t>(</w:t>
            </w:r>
            <w:r w:rsidRPr="0058604F">
              <w:rPr>
                <w:rStyle w:val="a4"/>
                <w:rFonts w:eastAsiaTheme="minorEastAsia"/>
                <w:b w:val="0"/>
                <w:bCs w:val="0"/>
              </w:rPr>
              <w:t>ключевая ставка</w:t>
            </w:r>
            <w:r w:rsidRPr="0058604F">
              <w:rPr>
                <w:rFonts w:eastAsiaTheme="minorEastAsia"/>
              </w:rPr>
              <w:t>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8604F" w:rsidRDefault="0058604F">
            <w:pPr>
              <w:pStyle w:val="afff0"/>
              <w:rPr>
                <w:rFonts w:eastAsiaTheme="minorEastAsia"/>
              </w:rPr>
            </w:pPr>
            <w:r w:rsidRPr="0058604F">
              <w:rPr>
                <w:rFonts w:eastAsiaTheme="minorEastAsia"/>
              </w:rPr>
              <w:t>15,00</w:t>
            </w:r>
            <w:r w:rsidRPr="0058604F">
              <w:rPr>
                <w:rFonts w:eastAsiaTheme="minorEastAsia"/>
              </w:rPr>
              <w:br/>
              <w:t>(</w:t>
            </w:r>
            <w:r w:rsidRPr="0058604F">
              <w:rPr>
                <w:rStyle w:val="a4"/>
                <w:rFonts w:eastAsiaTheme="minorEastAsia"/>
                <w:b w:val="0"/>
                <w:bCs w:val="0"/>
              </w:rPr>
              <w:t>ключевая ставка</w:t>
            </w:r>
            <w:r w:rsidRPr="0058604F">
              <w:rPr>
                <w:rFonts w:eastAsiaTheme="minorEastAsia"/>
              </w:rPr>
              <w:t>)</w:t>
            </w:r>
          </w:p>
        </w:tc>
      </w:tr>
      <w:tr w:rsidR="00000000" w:rsidRPr="0058604F">
        <w:tblPrEx>
          <w:tblCellMar>
            <w:top w:w="0" w:type="dxa"/>
            <w:bottom w:w="0" w:type="dxa"/>
          </w:tblCellMar>
        </w:tblPrEx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8604F" w:rsidRDefault="0058604F">
            <w:pPr>
              <w:pStyle w:val="afff0"/>
              <w:rPr>
                <w:rFonts w:eastAsiaTheme="minorEastAsia"/>
              </w:rPr>
            </w:pPr>
            <w:r w:rsidRPr="0058604F">
              <w:rPr>
                <w:rFonts w:eastAsiaTheme="minorEastAsia"/>
              </w:rPr>
              <w:t>Абсорбирование ликвидности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8604F" w:rsidRDefault="0058604F">
            <w:pPr>
              <w:pStyle w:val="afff0"/>
              <w:rPr>
                <w:rFonts w:eastAsiaTheme="minorEastAsia"/>
              </w:rPr>
            </w:pPr>
            <w:r w:rsidRPr="0058604F">
              <w:rPr>
                <w:rFonts w:eastAsiaTheme="minorEastAsia"/>
              </w:rPr>
              <w:t>Операции на аукционной основе</w:t>
            </w:r>
            <w:r w:rsidRPr="0058604F">
              <w:rPr>
                <w:rFonts w:eastAsiaTheme="minorEastAsia"/>
              </w:rPr>
              <w:br/>
              <w:t>(максимальные процентные ставки)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8604F" w:rsidRDefault="0058604F">
            <w:pPr>
              <w:pStyle w:val="afff0"/>
              <w:rPr>
                <w:rFonts w:eastAsiaTheme="minorEastAsia"/>
              </w:rPr>
            </w:pPr>
            <w:r w:rsidRPr="0058604F">
              <w:rPr>
                <w:rFonts w:eastAsiaTheme="minorEastAsia"/>
              </w:rPr>
              <w:t>Депозитные аукционы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8604F" w:rsidRDefault="0058604F">
            <w:pPr>
              <w:pStyle w:val="afff0"/>
              <w:rPr>
                <w:rFonts w:eastAsiaTheme="minorEastAsia"/>
              </w:rPr>
            </w:pPr>
            <w:r w:rsidRPr="0058604F">
              <w:rPr>
                <w:rFonts w:eastAsiaTheme="minorEastAsia"/>
              </w:rPr>
              <w:t>от 1 до 6 дней</w:t>
            </w:r>
            <w:r w:rsidRPr="0058604F">
              <w:rPr>
                <w:rStyle w:val="a4"/>
                <w:rFonts w:eastAsiaTheme="minorEastAsia"/>
                <w:b w:val="0"/>
                <w:bCs w:val="0"/>
              </w:rPr>
              <w:t>***</w:t>
            </w:r>
            <w:r w:rsidRPr="0058604F">
              <w:rPr>
                <w:rFonts w:eastAsiaTheme="minorEastAsia"/>
              </w:rPr>
              <w:t>,</w:t>
            </w:r>
            <w:r w:rsidRPr="0058604F">
              <w:rPr>
                <w:rFonts w:eastAsiaTheme="minorEastAsia"/>
              </w:rPr>
              <w:br/>
              <w:t>1 неделя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8604F" w:rsidRDefault="0058604F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8604F" w:rsidRDefault="0058604F">
            <w:pPr>
              <w:pStyle w:val="aff7"/>
              <w:rPr>
                <w:rFonts w:eastAsiaTheme="minorEastAsia"/>
              </w:rPr>
            </w:pPr>
          </w:p>
        </w:tc>
      </w:tr>
      <w:tr w:rsidR="00000000" w:rsidRPr="0058604F">
        <w:tblPrEx>
          <w:tblCellMar>
            <w:top w:w="0" w:type="dxa"/>
            <w:bottom w:w="0" w:type="dxa"/>
          </w:tblCellMar>
        </w:tblPrEx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8604F" w:rsidRDefault="0058604F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8604F" w:rsidRDefault="0058604F">
            <w:pPr>
              <w:pStyle w:val="afff0"/>
              <w:rPr>
                <w:rFonts w:eastAsiaTheme="minorEastAsia"/>
              </w:rPr>
            </w:pPr>
            <w:r w:rsidRPr="0058604F">
              <w:rPr>
                <w:rFonts w:eastAsiaTheme="minorEastAsia"/>
              </w:rPr>
              <w:t>Операции постоянного действия</w:t>
            </w:r>
            <w:r w:rsidRPr="0058604F">
              <w:rPr>
                <w:rFonts w:eastAsiaTheme="minorEastAsia"/>
              </w:rPr>
              <w:br/>
              <w:t>(по фиксированным процентным ставкам)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8604F" w:rsidRDefault="0058604F">
            <w:pPr>
              <w:pStyle w:val="afff0"/>
              <w:rPr>
                <w:rFonts w:eastAsiaTheme="minorEastAsia"/>
              </w:rPr>
            </w:pPr>
            <w:r w:rsidRPr="0058604F">
              <w:rPr>
                <w:rFonts w:eastAsiaTheme="minorEastAsia"/>
              </w:rPr>
              <w:t>Депозитные операции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8604F" w:rsidRDefault="0058604F">
            <w:pPr>
              <w:pStyle w:val="afff0"/>
              <w:rPr>
                <w:rFonts w:eastAsiaTheme="minorEastAsia"/>
              </w:rPr>
            </w:pPr>
            <w:r w:rsidRPr="0058604F">
              <w:rPr>
                <w:rFonts w:eastAsiaTheme="minorEastAsia"/>
              </w:rPr>
              <w:t xml:space="preserve">1 день, </w:t>
            </w:r>
            <w:r w:rsidRPr="0058604F">
              <w:rPr>
                <w:rFonts w:eastAsiaTheme="minorEastAsia"/>
              </w:rPr>
              <w:br/>
              <w:t>до востребования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8604F" w:rsidRDefault="0058604F">
            <w:pPr>
              <w:pStyle w:val="afff0"/>
              <w:rPr>
                <w:rFonts w:eastAsiaTheme="minorEastAsia"/>
              </w:rPr>
            </w:pPr>
            <w:r w:rsidRPr="0058604F">
              <w:rPr>
                <w:rFonts w:eastAsiaTheme="minorEastAsia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8604F" w:rsidRDefault="0058604F">
            <w:pPr>
              <w:pStyle w:val="afff0"/>
              <w:rPr>
                <w:rFonts w:eastAsiaTheme="minorEastAsia"/>
              </w:rPr>
            </w:pPr>
            <w:r w:rsidRPr="0058604F">
              <w:rPr>
                <w:rFonts w:eastAsiaTheme="minorEastAsia"/>
              </w:rPr>
              <w:t>14,00</w:t>
            </w:r>
          </w:p>
        </w:tc>
      </w:tr>
      <w:tr w:rsidR="00000000" w:rsidRPr="005860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8604F" w:rsidRDefault="0058604F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58604F" w:rsidRDefault="0058604F">
            <w:pPr>
              <w:pStyle w:val="afff0"/>
              <w:rPr>
                <w:rFonts w:eastAsiaTheme="minorEastAsia"/>
              </w:rPr>
            </w:pPr>
            <w:r w:rsidRPr="0058604F">
              <w:rPr>
                <w:rFonts w:eastAsiaTheme="minorEastAsia"/>
              </w:rPr>
              <w:t>Справочно:</w:t>
            </w:r>
          </w:p>
        </w:tc>
      </w:tr>
      <w:tr w:rsidR="00000000" w:rsidRPr="0058604F">
        <w:tblPrEx>
          <w:tblCellMar>
            <w:top w:w="0" w:type="dxa"/>
            <w:bottom w:w="0" w:type="dxa"/>
          </w:tblCellMar>
        </w:tblPrEx>
        <w:tc>
          <w:tcPr>
            <w:tcW w:w="12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58604F" w:rsidRDefault="0058604F">
            <w:pPr>
              <w:pStyle w:val="afff0"/>
              <w:rPr>
                <w:rFonts w:eastAsiaTheme="minorEastAsia"/>
              </w:rPr>
            </w:pPr>
            <w:r w:rsidRPr="0058604F">
              <w:rPr>
                <w:rStyle w:val="a4"/>
                <w:rFonts w:eastAsiaTheme="minorEastAsia"/>
                <w:b w:val="0"/>
                <w:bCs w:val="0"/>
              </w:rPr>
              <w:t>Ставка рефинансирования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8604F" w:rsidRDefault="0058604F">
            <w:pPr>
              <w:pStyle w:val="afff0"/>
              <w:rPr>
                <w:rFonts w:eastAsiaTheme="minorEastAsia"/>
              </w:rPr>
            </w:pPr>
            <w:r w:rsidRPr="0058604F">
              <w:rPr>
                <w:rFonts w:eastAsiaTheme="minorEastAsia"/>
              </w:rPr>
              <w:t>8,25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8604F" w:rsidRDefault="0058604F">
            <w:pPr>
              <w:pStyle w:val="afff0"/>
              <w:rPr>
                <w:rFonts w:eastAsiaTheme="minorEastAsia"/>
              </w:rPr>
            </w:pPr>
            <w:r w:rsidRPr="0058604F">
              <w:rPr>
                <w:rFonts w:eastAsiaTheme="minorEastAsia"/>
              </w:rPr>
              <w:t>8,25</w:t>
            </w:r>
          </w:p>
        </w:tc>
      </w:tr>
    </w:tbl>
    <w:p w:rsidR="00000000" w:rsidRDefault="0058604F"/>
    <w:p w:rsidR="00000000" w:rsidRDefault="0058604F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58604F">
      <w:r>
        <w:lastRenderedPageBreak/>
        <w:t>_____________________________</w:t>
      </w:r>
    </w:p>
    <w:p w:rsidR="00000000" w:rsidRDefault="0058604F">
      <w:bookmarkStart w:id="1" w:name="sub_111"/>
      <w:r>
        <w:t>* Информация о ставках по всем операциям Банка России представлена в таблице "Процентные ставки по операциям Банка России".</w:t>
      </w:r>
    </w:p>
    <w:p w:rsidR="00000000" w:rsidRDefault="0058604F">
      <w:bookmarkStart w:id="2" w:name="sub_222"/>
      <w:bookmarkEnd w:id="1"/>
      <w:r>
        <w:t xml:space="preserve">** Плавающая процентная ставка, привязанная к уровню </w:t>
      </w:r>
      <w:r>
        <w:rPr>
          <w:rStyle w:val="a4"/>
        </w:rPr>
        <w:t>ключевой ставки</w:t>
      </w:r>
      <w:r>
        <w:t xml:space="preserve"> Банка России.</w:t>
      </w:r>
    </w:p>
    <w:p w:rsidR="00000000" w:rsidRDefault="0058604F">
      <w:bookmarkStart w:id="3" w:name="sub_333"/>
      <w:bookmarkEnd w:id="2"/>
      <w:r>
        <w:t>*** Операции "тонкой настройки".</w:t>
      </w:r>
    </w:p>
    <w:bookmarkEnd w:id="3"/>
    <w:p w:rsidR="0058604F" w:rsidRDefault="0058604F"/>
    <w:sectPr w:rsidR="0058604F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E6F"/>
    <w:rsid w:val="00540E6F"/>
    <w:rsid w:val="0058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785</Words>
  <Characters>4475</Characters>
  <Application>Microsoft Office Word</Application>
  <DocSecurity>0</DocSecurity>
  <Lines>37</Lines>
  <Paragraphs>10</Paragraphs>
  <ScaleCrop>false</ScaleCrop>
  <Company>НПП "Гарант-Сервис"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2015-02-09T06:02:00Z</dcterms:created>
  <dcterms:modified xsi:type="dcterms:W3CDTF">2015-02-09T06:02:00Z</dcterms:modified>
</cp:coreProperties>
</file>